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437" w:type="dxa"/>
        <w:jc w:val="center"/>
        <w:tblLayout w:type="fixed"/>
        <w:tblCellMar>
          <w:top w:w="0" w:type="dxa"/>
          <w:left w:w="108" w:type="dxa"/>
          <w:bottom w:w="0" w:type="dxa"/>
          <w:right w:w="108" w:type="dxa"/>
        </w:tblCellMar>
      </w:tblPr>
      <w:tblGrid>
        <w:gridCol w:w="1001"/>
        <w:gridCol w:w="1289"/>
        <w:gridCol w:w="668"/>
        <w:gridCol w:w="10934"/>
        <w:gridCol w:w="545"/>
      </w:tblGrid>
      <w:tr>
        <w:tblPrEx>
          <w:tblCellMar>
            <w:top w:w="0" w:type="dxa"/>
            <w:left w:w="108" w:type="dxa"/>
            <w:bottom w:w="0" w:type="dxa"/>
            <w:right w:w="108" w:type="dxa"/>
          </w:tblCellMar>
        </w:tblPrEx>
        <w:trPr>
          <w:trHeight w:val="503" w:hRule="atLeast"/>
          <w:jc w:val="center"/>
        </w:trPr>
        <w:tc>
          <w:tcPr>
            <w:tcW w:w="14437" w:type="dxa"/>
            <w:gridSpan w:val="5"/>
            <w:tcBorders>
              <w:top w:val="nil"/>
              <w:left w:val="nil"/>
              <w:bottom w:val="nil"/>
              <w:right w:val="nil"/>
            </w:tcBorders>
            <w:noWrap/>
            <w:vAlign w:val="center"/>
          </w:tcPr>
          <w:p>
            <w:pPr>
              <w:pStyle w:val="2"/>
              <w:widowControl/>
              <w:spacing w:beforeAutospacing="0" w:afterAutospacing="0" w:line="560" w:lineRule="exact"/>
              <w:jc w:val="both"/>
              <w:rPr>
                <w:rFonts w:hint="eastAsia" w:ascii="黑体" w:hAnsi="黑体" w:eastAsia="黑体" w:cs="黑体"/>
                <w:b w:val="0"/>
                <w:color w:val="auto"/>
                <w:sz w:val="32"/>
                <w:szCs w:val="32"/>
                <w:shd w:val="clear" w:color="auto" w:fill="FFFFFF"/>
                <w:lang w:val="en-US" w:eastAsia="zh-CN"/>
              </w:rPr>
            </w:pPr>
            <w:r>
              <w:rPr>
                <w:rFonts w:ascii="黑体" w:hAnsi="黑体" w:eastAsia="黑体" w:cs="黑体"/>
                <w:b w:val="0"/>
                <w:color w:val="auto"/>
                <w:sz w:val="32"/>
                <w:szCs w:val="32"/>
                <w:shd w:val="clear" w:color="auto" w:fill="FFFFFF"/>
              </w:rPr>
              <w:t>附件</w:t>
            </w:r>
            <w:bookmarkStart w:id="0" w:name="_GoBack"/>
            <w:bookmarkEnd w:id="0"/>
          </w:p>
          <w:p>
            <w:pPr>
              <w:widowControl/>
              <w:jc w:val="center"/>
              <w:textAlignment w:val="center"/>
              <w:rPr>
                <w:rFonts w:hint="eastAsia" w:ascii="仿宋_GB2312" w:hAnsi="仿宋_GB2312" w:eastAsia="仿宋_GB2312" w:cs="仿宋_GB2312"/>
                <w:b/>
                <w:bCs/>
                <w:color w:val="auto"/>
                <w:sz w:val="40"/>
                <w:szCs w:val="40"/>
                <w:u w:val="none"/>
                <w:shd w:val="clear" w:color="auto" w:fill="auto"/>
              </w:rPr>
            </w:pPr>
            <w:r>
              <w:rPr>
                <w:rFonts w:hint="eastAsia" w:ascii="仿宋_GB2312" w:hAnsi="仿宋_GB2312" w:eastAsia="仿宋_GB2312" w:cs="仿宋_GB2312"/>
                <w:b/>
                <w:bCs/>
                <w:i w:val="0"/>
                <w:caps w:val="0"/>
                <w:color w:val="auto"/>
                <w:spacing w:val="0"/>
                <w:sz w:val="40"/>
                <w:szCs w:val="40"/>
                <w:u w:val="none"/>
                <w:shd w:val="clear" w:color="auto" w:fill="auto"/>
                <w:lang w:val="en-US" w:eastAsia="zh-CN"/>
              </w:rPr>
              <w:t>面向交发集团内部公开招聘</w:t>
            </w:r>
            <w:r>
              <w:rPr>
                <w:rFonts w:hint="eastAsia" w:ascii="仿宋_GB2312" w:hAnsi="仿宋_GB2312" w:eastAsia="仿宋_GB2312" w:cs="仿宋_GB2312"/>
                <w:b/>
                <w:bCs/>
                <w:color w:val="auto"/>
                <w:sz w:val="40"/>
                <w:szCs w:val="40"/>
                <w:u w:val="none"/>
                <w:shd w:val="clear" w:color="auto" w:fill="auto"/>
              </w:rPr>
              <w:t>职位表</w:t>
            </w:r>
          </w:p>
        </w:tc>
      </w:tr>
      <w:tr>
        <w:tblPrEx>
          <w:tblCellMar>
            <w:top w:w="0" w:type="dxa"/>
            <w:left w:w="108" w:type="dxa"/>
            <w:bottom w:w="0" w:type="dxa"/>
            <w:right w:w="108" w:type="dxa"/>
          </w:tblCellMar>
        </w:tblPrEx>
        <w:trPr>
          <w:trHeight w:val="777" w:hRule="atLeast"/>
          <w:jc w:val="center"/>
        </w:trPr>
        <w:tc>
          <w:tcPr>
            <w:tcW w:w="10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kern w:val="0"/>
                <w:szCs w:val="21"/>
                <w:lang w:eastAsia="zh-CN"/>
              </w:rPr>
            </w:pPr>
            <w:r>
              <w:rPr>
                <w:rFonts w:hint="eastAsia" w:ascii="黑体" w:hAnsi="黑体" w:eastAsia="黑体" w:cs="黑体"/>
                <w:bCs/>
                <w:color w:val="auto"/>
                <w:kern w:val="0"/>
                <w:szCs w:val="21"/>
              </w:rPr>
              <w:t>用人</w:t>
            </w:r>
          </w:p>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单位</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选聘岗位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人数</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岗位主要职责</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bCs/>
                <w:color w:val="auto"/>
                <w:szCs w:val="21"/>
              </w:rPr>
            </w:pPr>
            <w:r>
              <w:rPr>
                <w:rFonts w:hint="eastAsia" w:ascii="黑体" w:hAnsi="黑体" w:eastAsia="黑体" w:cs="黑体"/>
                <w:bCs/>
                <w:color w:val="auto"/>
                <w:kern w:val="0"/>
                <w:szCs w:val="21"/>
              </w:rPr>
              <w:t>备注</w:t>
            </w:r>
          </w:p>
        </w:tc>
      </w:tr>
      <w:tr>
        <w:tblPrEx>
          <w:tblCellMar>
            <w:top w:w="0" w:type="dxa"/>
            <w:left w:w="108" w:type="dxa"/>
            <w:bottom w:w="0" w:type="dxa"/>
            <w:right w:w="108" w:type="dxa"/>
          </w:tblCellMar>
        </w:tblPrEx>
        <w:trPr>
          <w:trHeight w:val="2249" w:hRule="atLeast"/>
          <w:jc w:val="center"/>
        </w:trPr>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6"/>
                <w:rFonts w:hint="default"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绵阳交发实业有限责任公司</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6"/>
                <w:rFonts w:hint="default" w:ascii="仿宋_GB2312" w:eastAsia="仿宋_GB2312"/>
                <w:b w:val="0"/>
                <w:color w:val="auto"/>
                <w:sz w:val="21"/>
                <w:szCs w:val="21"/>
                <w:lang w:val="en-US" w:eastAsia="zh-CN"/>
              </w:rPr>
            </w:pPr>
            <w:r>
              <w:rPr>
                <w:rStyle w:val="6"/>
                <w:rFonts w:hint="eastAsia" w:ascii="仿宋_GB2312" w:eastAsia="仿宋_GB2312"/>
                <w:b w:val="0"/>
                <w:color w:val="auto"/>
                <w:sz w:val="21"/>
                <w:szCs w:val="21"/>
                <w:lang w:val="en-US" w:eastAsia="zh-CN"/>
              </w:rPr>
              <w:t>投资拓展岗</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Times New Roman" w:eastAsia="仿宋_GB2312" w:cs="Times New Roman"/>
                <w:bCs/>
                <w:color w:val="auto"/>
                <w:kern w:val="0"/>
                <w:szCs w:val="21"/>
              </w:rPr>
            </w:pPr>
            <w:r>
              <w:rPr>
                <w:rFonts w:hint="eastAsia" w:ascii="仿宋_GB2312" w:hAnsi="Times New Roman" w:eastAsia="仿宋_GB2312" w:cs="Times New Roman"/>
                <w:bCs/>
                <w:color w:val="auto"/>
                <w:kern w:val="0"/>
                <w:szCs w:val="21"/>
                <w:lang w:val="en-US" w:eastAsia="zh-CN"/>
              </w:rPr>
              <w:t>1</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仿宋_GB2312" w:hAnsi="仿宋_GB2312" w:eastAsia="仿宋_GB2312" w:cs="仿宋_GB2312"/>
                <w:bCs/>
                <w:szCs w:val="21"/>
              </w:rPr>
            </w:pPr>
            <w:r>
              <w:rPr>
                <w:rFonts w:hint="eastAsia" w:ascii="仿宋_GB2312" w:hAnsi="仿宋_GB2312" w:eastAsia="仿宋_GB2312" w:cs="仿宋_GB2312"/>
                <w:bCs/>
                <w:szCs w:val="21"/>
              </w:rPr>
              <w:t>1.组织做好相关行业研究及投资市场研究等工作，收集有关投资市场信息资料；负责对调研资料进行汇总、分析，编制投资市场调查报告，提出投资方向建议；</w:t>
            </w:r>
          </w:p>
          <w:p>
            <w:pPr>
              <w:spacing w:line="360" w:lineRule="exact"/>
              <w:rPr>
                <w:rFonts w:ascii="仿宋_GB2312" w:hAnsi="仿宋_GB2312" w:eastAsia="仿宋_GB2312" w:cs="仿宋_GB2312"/>
                <w:bCs/>
                <w:szCs w:val="21"/>
              </w:rPr>
            </w:pPr>
            <w:r>
              <w:rPr>
                <w:rFonts w:hint="eastAsia" w:ascii="仿宋_GB2312" w:hAnsi="仿宋_GB2312" w:eastAsia="仿宋_GB2312" w:cs="仿宋_GB2312"/>
                <w:bCs/>
                <w:szCs w:val="21"/>
              </w:rPr>
              <w:t>2.做好项目投资分析和研判工作，包括项目经济测算和财务数据分析以及项目可行性研究分析与评价等，形成项目可行性研究报告，为管理层的投资决策提供依据；</w:t>
            </w:r>
          </w:p>
          <w:p>
            <w:pPr>
              <w:spacing w:line="360" w:lineRule="exact"/>
              <w:rPr>
                <w:rFonts w:ascii="仿宋_GB2312" w:hAnsi="仿宋_GB2312" w:eastAsia="仿宋_GB2312" w:cs="仿宋_GB2312"/>
                <w:bCs/>
                <w:szCs w:val="21"/>
              </w:rPr>
            </w:pPr>
            <w:r>
              <w:rPr>
                <w:rFonts w:hint="eastAsia" w:ascii="仿宋_GB2312" w:hAnsi="仿宋_GB2312" w:eastAsia="仿宋_GB2312" w:cs="仿宋_GB2312"/>
                <w:bCs/>
                <w:szCs w:val="21"/>
              </w:rPr>
              <w:t>3.积极寻找、拓展投资项目，做好项目考察、调研，组织参与对拓展项目的尽职调查和谈判等前期工作；</w:t>
            </w:r>
          </w:p>
          <w:p>
            <w:pPr>
              <w:spacing w:line="360" w:lineRule="exact"/>
              <w:rPr>
                <w:rFonts w:ascii="仿宋_GB2312" w:hAnsi="仿宋_GB2312" w:eastAsia="仿宋_GB2312" w:cs="仿宋_GB2312"/>
                <w:bCs/>
                <w:szCs w:val="21"/>
              </w:rPr>
            </w:pPr>
            <w:r>
              <w:rPr>
                <w:rFonts w:hint="eastAsia" w:ascii="仿宋_GB2312" w:hAnsi="仿宋_GB2312" w:eastAsia="仿宋_GB2312" w:cs="仿宋_GB2312"/>
                <w:bCs/>
                <w:szCs w:val="21"/>
              </w:rPr>
              <w:t>4.根据财务分析及领导指示，制订投资工作计划和工作方案，经领导审批后执行；对接上级单位做好项目投资计划上报工作；</w:t>
            </w:r>
          </w:p>
          <w:p>
            <w:pPr>
              <w:spacing w:line="360" w:lineRule="exact"/>
              <w:rPr>
                <w:rFonts w:ascii="仿宋_GB2312" w:hAnsi="仿宋_GB2312" w:eastAsia="仿宋_GB2312" w:cs="仿宋_GB2312"/>
                <w:bCs/>
                <w:szCs w:val="21"/>
              </w:rPr>
            </w:pPr>
            <w:r>
              <w:rPr>
                <w:rFonts w:hint="eastAsia" w:ascii="仿宋_GB2312" w:hAnsi="仿宋_GB2312" w:eastAsia="仿宋_GB2312" w:cs="仿宋_GB2312"/>
                <w:bCs/>
                <w:szCs w:val="21"/>
              </w:rPr>
              <w:t>5.建立和完善公司业务拓展制度及相关流程，做好项目投资管理全过程工作；</w:t>
            </w:r>
          </w:p>
          <w:p>
            <w:pPr>
              <w:spacing w:line="36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6.组织做好投资项目效果评估，拟订项目效果评估报告，提交企业决策层参考；</w:t>
            </w:r>
          </w:p>
          <w:p>
            <w:pPr>
              <w:spacing w:line="36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7.</w:t>
            </w:r>
            <w:r>
              <w:rPr>
                <w:rFonts w:hint="eastAsia" w:ascii="仿宋_GB2312" w:hAnsi="仿宋_GB2312" w:eastAsia="仿宋_GB2312" w:cs="仿宋_GB2312"/>
                <w:bCs/>
                <w:szCs w:val="21"/>
              </w:rPr>
              <w:t>组织项目前期洽商谈判，跟踪项目洽谈进展;</w:t>
            </w:r>
          </w:p>
          <w:p>
            <w:pPr>
              <w:spacing w:line="360" w:lineRule="exact"/>
              <w:rPr>
                <w:rFonts w:ascii="仿宋_GB2312" w:hAnsi="仿宋_GB2312" w:eastAsia="仿宋_GB2312" w:cs="仿宋_GB2312"/>
                <w:bCs/>
                <w:szCs w:val="21"/>
              </w:rPr>
            </w:pPr>
            <w:r>
              <w:rPr>
                <w:rFonts w:hint="eastAsia" w:ascii="仿宋_GB2312" w:hAnsi="仿宋_GB2312" w:eastAsia="仿宋_GB2312" w:cs="仿宋_GB2312"/>
                <w:bCs/>
                <w:szCs w:val="21"/>
                <w:lang w:val="en-US" w:eastAsia="zh-CN"/>
              </w:rPr>
              <w:t>8.</w:t>
            </w:r>
            <w:r>
              <w:rPr>
                <w:rFonts w:hint="eastAsia" w:ascii="仿宋_GB2312" w:hAnsi="仿宋_GB2312" w:eastAsia="仿宋_GB2312" w:cs="仿宋_GB2312"/>
                <w:bCs/>
                <w:szCs w:val="21"/>
              </w:rPr>
              <w:t>负责商务合作协议的拟制与签订；</w:t>
            </w:r>
          </w:p>
          <w:p>
            <w:pPr>
              <w:spacing w:line="36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9</w:t>
            </w:r>
            <w:r>
              <w:rPr>
                <w:rFonts w:hint="eastAsia" w:ascii="仿宋_GB2312" w:hAnsi="仿宋_GB2312" w:eastAsia="仿宋_GB2312" w:cs="仿宋_GB2312"/>
                <w:bCs/>
                <w:szCs w:val="21"/>
              </w:rPr>
              <w:t>.建立投资项目档案管理系统，保管好与投资有关的各种资料；</w:t>
            </w:r>
          </w:p>
          <w:p>
            <w:pPr>
              <w:pStyle w:val="3"/>
              <w:widowControl/>
              <w:numPr>
                <w:ilvl w:val="0"/>
                <w:numId w:val="0"/>
              </w:numPr>
              <w:suppressAutoHyphens/>
              <w:bidi w:val="0"/>
              <w:ind w:left="0" w:leftChars="0" w:firstLine="0" w:firstLineChars="0"/>
              <w:jc w:val="left"/>
              <w:rPr>
                <w:rStyle w:val="6"/>
                <w:rFonts w:hint="eastAsia" w:ascii="仿宋_GB2312" w:eastAsia="仿宋_GB2312"/>
                <w:b w:val="0"/>
                <w:color w:val="auto"/>
                <w:sz w:val="21"/>
                <w:szCs w:val="21"/>
                <w:lang w:val="en-US" w:eastAsia="zh-CN"/>
              </w:rPr>
            </w:pPr>
            <w:r>
              <w:rPr>
                <w:rFonts w:hint="eastAsia" w:ascii="仿宋_GB2312" w:hAnsi="仿宋_GB2312" w:eastAsia="仿宋_GB2312" w:cs="仿宋_GB2312"/>
                <w:bCs/>
                <w:color w:val="auto"/>
                <w:kern w:val="2"/>
                <w:sz w:val="21"/>
                <w:szCs w:val="21"/>
                <w:lang w:val="en-US" w:eastAsia="zh-CN" w:bidi="ar-SA"/>
              </w:rPr>
              <w:t>10.公司安排的相关工作。</w:t>
            </w:r>
          </w:p>
        </w:tc>
        <w:tc>
          <w:tcPr>
            <w:tcW w:w="54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eastAsia="仿宋_GB2312" w:cs="宋体"/>
                <w:color w:val="auto"/>
                <w:szCs w:val="21"/>
              </w:rPr>
            </w:pPr>
          </w:p>
        </w:tc>
      </w:tr>
      <w:tr>
        <w:tblPrEx>
          <w:tblCellMar>
            <w:top w:w="0" w:type="dxa"/>
            <w:left w:w="108" w:type="dxa"/>
            <w:bottom w:w="0" w:type="dxa"/>
            <w:right w:w="108" w:type="dxa"/>
          </w:tblCellMar>
        </w:tblPrEx>
        <w:trPr>
          <w:trHeight w:val="2137" w:hRule="atLeast"/>
          <w:jc w:val="center"/>
        </w:trPr>
        <w:tc>
          <w:tcPr>
            <w:tcW w:w="10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eastAsia" w:ascii="仿宋_GB2312" w:eastAsia="仿宋_GB2312"/>
                <w:b w:val="0"/>
                <w:color w:val="auto"/>
                <w:sz w:val="21"/>
                <w:szCs w:val="21"/>
                <w:lang w:val="en-US" w:eastAsia="zh-CN"/>
              </w:rPr>
              <w:t>绵阳交发商业运营管理有限公司</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方正仿宋简体" w:eastAsia="仿宋_GB2312" w:cs="方正仿宋简体"/>
                <w:b w:val="0"/>
                <w:bCs/>
                <w:color w:val="auto"/>
                <w:kern w:val="2"/>
                <w:sz w:val="21"/>
                <w:szCs w:val="21"/>
                <w:u w:val="none"/>
                <w:lang w:val="en-US" w:eastAsia="zh-CN" w:bidi="ar-SA"/>
              </w:rPr>
            </w:pPr>
            <w:r>
              <w:rPr>
                <w:rStyle w:val="6"/>
                <w:rFonts w:hint="eastAsia" w:ascii="仿宋_GB2312" w:eastAsia="仿宋_GB2312"/>
                <w:b w:val="0"/>
                <w:color w:val="auto"/>
                <w:sz w:val="21"/>
                <w:szCs w:val="21"/>
                <w:lang w:val="en-US" w:eastAsia="zh-CN"/>
              </w:rPr>
              <w:t>业务拓展岗</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Times New Roman" w:eastAsia="仿宋_GB2312" w:cs="Times New Roman"/>
                <w:bCs/>
                <w:color w:val="auto"/>
                <w:kern w:val="2"/>
                <w:sz w:val="21"/>
                <w:szCs w:val="21"/>
                <w:lang w:val="en-US" w:eastAsia="zh-CN" w:bidi="ar-SA"/>
              </w:rPr>
            </w:pPr>
            <w:r>
              <w:rPr>
                <w:rFonts w:hint="eastAsia" w:ascii="仿宋_GB2312" w:hAnsi="Times New Roman" w:eastAsia="仿宋_GB2312" w:cs="Times New Roman"/>
                <w:bCs/>
                <w:color w:val="auto"/>
                <w:kern w:val="0"/>
                <w:szCs w:val="21"/>
              </w:rPr>
              <w:t>1</w:t>
            </w:r>
          </w:p>
        </w:tc>
        <w:tc>
          <w:tcPr>
            <w:tcW w:w="1093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仿宋_GB2312" w:hAnsi="仿宋_GB2312" w:eastAsia="仿宋_GB2312" w:cs="仿宋_GB2312"/>
                <w:bCs/>
                <w:szCs w:val="21"/>
              </w:rPr>
            </w:pPr>
            <w:r>
              <w:rPr>
                <w:rFonts w:hint="eastAsia" w:ascii="仿宋_GB2312" w:hAnsi="仿宋_GB2312" w:eastAsia="仿宋_GB2312" w:cs="仿宋_GB2312"/>
                <w:bCs/>
                <w:szCs w:val="21"/>
              </w:rPr>
              <w:t>1.</w:t>
            </w:r>
            <w:r>
              <w:rPr>
                <w:rFonts w:hint="eastAsia"/>
              </w:rPr>
              <w:t xml:space="preserve"> </w:t>
            </w:r>
            <w:r>
              <w:rPr>
                <w:rFonts w:hint="eastAsia" w:ascii="仿宋_GB2312" w:hAnsi="仿宋_GB2312" w:eastAsia="仿宋_GB2312" w:cs="仿宋_GB2312"/>
                <w:bCs/>
                <w:szCs w:val="21"/>
              </w:rPr>
              <w:t xml:space="preserve">依据公司发展战略规划，组织开展业务拓展规划，积极拓展业务; </w:t>
            </w:r>
          </w:p>
          <w:p>
            <w:pPr>
              <w:spacing w:line="360" w:lineRule="exact"/>
              <w:rPr>
                <w:rFonts w:ascii="仿宋_GB2312" w:hAnsi="仿宋_GB2312" w:eastAsia="仿宋_GB2312" w:cs="仿宋_GB2312"/>
                <w:bCs/>
                <w:szCs w:val="21"/>
              </w:rPr>
            </w:pPr>
            <w:r>
              <w:rPr>
                <w:rFonts w:ascii="仿宋_GB2312" w:hAnsi="仿宋_GB2312" w:eastAsia="仿宋_GB2312" w:cs="仿宋_GB2312"/>
                <w:bCs/>
                <w:szCs w:val="21"/>
              </w:rPr>
              <w:t>2</w:t>
            </w:r>
            <w:r>
              <w:rPr>
                <w:rFonts w:hint="eastAsia" w:ascii="仿宋_GB2312" w:hAnsi="仿宋_GB2312" w:eastAsia="仿宋_GB2312" w:cs="仿宋_GB2312"/>
                <w:bCs/>
                <w:szCs w:val="21"/>
              </w:rPr>
              <w:t>.</w:t>
            </w:r>
            <w:r>
              <w:rPr>
                <w:rFonts w:ascii="仿宋_GB2312" w:hAnsi="仿宋_GB2312" w:eastAsia="仿宋_GB2312" w:cs="仿宋_GB2312"/>
                <w:bCs/>
                <w:szCs w:val="21"/>
              </w:rPr>
              <w:t xml:space="preserve"> </w:t>
            </w:r>
            <w:r>
              <w:rPr>
                <w:rFonts w:hint="eastAsia" w:ascii="仿宋_GB2312" w:hAnsi="仿宋_GB2312" w:eastAsia="仿宋_GB2312" w:cs="仿宋_GB2312"/>
                <w:bCs/>
                <w:szCs w:val="21"/>
              </w:rPr>
              <w:t>组织收集业务信息，并开展市场机会寻找及初步研判工作，寻求建立合作关系;</w:t>
            </w:r>
          </w:p>
          <w:p>
            <w:pPr>
              <w:spacing w:line="360" w:lineRule="exact"/>
              <w:rPr>
                <w:rFonts w:ascii="仿宋_GB2312" w:hAnsi="仿宋_GB2312" w:eastAsia="仿宋_GB2312" w:cs="仿宋_GB2312"/>
                <w:bCs/>
                <w:szCs w:val="21"/>
              </w:rPr>
            </w:pPr>
            <w:r>
              <w:rPr>
                <w:rFonts w:ascii="仿宋_GB2312" w:hAnsi="仿宋_GB2312" w:eastAsia="仿宋_GB2312" w:cs="仿宋_GB2312"/>
                <w:bCs/>
                <w:szCs w:val="21"/>
              </w:rPr>
              <w:t>3.</w:t>
            </w:r>
            <w:r>
              <w:rPr>
                <w:rFonts w:hint="eastAsia" w:ascii="仿宋_GB2312" w:hAnsi="仿宋_GB2312" w:eastAsia="仿宋_GB2312" w:cs="仿宋_GB2312"/>
                <w:bCs/>
                <w:szCs w:val="21"/>
              </w:rPr>
              <w:t>负责组织目标项目的调研、分析、经济测算等工作，组织完成项目可行性报告编制;</w:t>
            </w:r>
          </w:p>
          <w:p>
            <w:pPr>
              <w:spacing w:line="360" w:lineRule="exact"/>
              <w:rPr>
                <w:rFonts w:ascii="仿宋_GB2312" w:hAnsi="仿宋_GB2312" w:eastAsia="仿宋_GB2312" w:cs="仿宋_GB2312"/>
                <w:bCs/>
                <w:szCs w:val="21"/>
              </w:rPr>
            </w:pPr>
            <w:r>
              <w:rPr>
                <w:rFonts w:hint="eastAsia" w:ascii="仿宋_GB2312" w:hAnsi="仿宋_GB2312" w:eastAsia="仿宋_GB2312" w:cs="仿宋_GB2312"/>
                <w:bCs/>
                <w:szCs w:val="21"/>
              </w:rPr>
              <w:t>4</w:t>
            </w:r>
            <w:r>
              <w:rPr>
                <w:rFonts w:ascii="仿宋_GB2312" w:hAnsi="仿宋_GB2312" w:eastAsia="仿宋_GB2312" w:cs="仿宋_GB2312"/>
                <w:bCs/>
                <w:szCs w:val="21"/>
              </w:rPr>
              <w:t>.</w:t>
            </w:r>
            <w:r>
              <w:rPr>
                <w:rFonts w:hint="eastAsia" w:ascii="仿宋_GB2312" w:hAnsi="仿宋_GB2312" w:eastAsia="仿宋_GB2312" w:cs="仿宋_GB2312"/>
                <w:bCs/>
                <w:szCs w:val="21"/>
              </w:rPr>
              <w:t>组织项目前期洽商谈判，跟踪项目洽谈进展;</w:t>
            </w:r>
          </w:p>
          <w:p>
            <w:pPr>
              <w:spacing w:line="360" w:lineRule="exact"/>
              <w:rPr>
                <w:rFonts w:ascii="仿宋_GB2312" w:hAnsi="仿宋_GB2312" w:eastAsia="仿宋_GB2312" w:cs="仿宋_GB2312"/>
                <w:bCs/>
                <w:szCs w:val="21"/>
              </w:rPr>
            </w:pPr>
            <w:r>
              <w:rPr>
                <w:rFonts w:hint="eastAsia" w:ascii="仿宋_GB2312" w:hAnsi="仿宋_GB2312" w:eastAsia="仿宋_GB2312" w:cs="仿宋_GB2312"/>
                <w:bCs/>
                <w:szCs w:val="21"/>
              </w:rPr>
              <w:t>5</w:t>
            </w:r>
            <w:r>
              <w:rPr>
                <w:rFonts w:ascii="仿宋_GB2312" w:hAnsi="仿宋_GB2312" w:eastAsia="仿宋_GB2312" w:cs="仿宋_GB2312"/>
                <w:bCs/>
                <w:szCs w:val="21"/>
              </w:rPr>
              <w:t>.</w:t>
            </w:r>
            <w:r>
              <w:rPr>
                <w:rFonts w:hint="eastAsia" w:ascii="仿宋_GB2312" w:hAnsi="仿宋_GB2312" w:eastAsia="仿宋_GB2312" w:cs="仿宋_GB2312"/>
                <w:bCs/>
                <w:szCs w:val="21"/>
              </w:rPr>
              <w:t>负责商务合作协议的拟制与签订；</w:t>
            </w:r>
          </w:p>
          <w:p>
            <w:pPr>
              <w:spacing w:line="360" w:lineRule="exact"/>
              <w:rPr>
                <w:rFonts w:hint="eastAsia" w:ascii="仿宋_GB2312" w:hAnsi="仿宋_GB2312" w:eastAsia="仿宋_GB2312" w:cs="仿宋_GB2312"/>
                <w:bCs/>
                <w:szCs w:val="21"/>
              </w:rPr>
            </w:pPr>
            <w:r>
              <w:rPr>
                <w:rFonts w:ascii="仿宋_GB2312" w:hAnsi="仿宋_GB2312" w:eastAsia="仿宋_GB2312" w:cs="仿宋_GB2312"/>
                <w:bCs/>
                <w:szCs w:val="21"/>
              </w:rPr>
              <w:t>6.</w:t>
            </w:r>
            <w:r>
              <w:rPr>
                <w:rFonts w:hint="eastAsia" w:ascii="仿宋_GB2312" w:hAnsi="仿宋_GB2312" w:eastAsia="仿宋_GB2312" w:cs="仿宋_GB2312"/>
                <w:bCs/>
                <w:szCs w:val="21"/>
              </w:rPr>
              <w:t>建立和完善公司业务拓展制度及相关流程;</w:t>
            </w:r>
          </w:p>
          <w:p>
            <w:pPr>
              <w:pStyle w:val="3"/>
              <w:widowControl/>
              <w:numPr>
                <w:ilvl w:val="0"/>
                <w:numId w:val="0"/>
              </w:numPr>
              <w:suppressAutoHyphens/>
              <w:bidi w:val="0"/>
              <w:ind w:left="0" w:leftChars="0" w:firstLine="0" w:firstLineChars="0"/>
              <w:jc w:val="left"/>
              <w:rPr>
                <w:rFonts w:hint="eastAsia" w:ascii="仿宋_GB2312" w:hAnsi="Times New Roman" w:eastAsia="仿宋_GB2312"/>
                <w:bCs/>
                <w:color w:val="auto"/>
                <w:szCs w:val="21"/>
              </w:rPr>
            </w:pPr>
            <w:r>
              <w:rPr>
                <w:rFonts w:hint="eastAsia" w:ascii="仿宋_GB2312" w:hAnsi="仿宋_GB2312" w:eastAsia="仿宋_GB2312" w:cs="仿宋_GB2312"/>
                <w:bCs/>
                <w:color w:val="auto"/>
                <w:kern w:val="2"/>
                <w:sz w:val="21"/>
                <w:szCs w:val="21"/>
                <w:lang w:val="en-US" w:eastAsia="zh-CN" w:bidi="ar-SA"/>
              </w:rPr>
              <w:t>7.公司安排的相关工作。</w:t>
            </w:r>
          </w:p>
        </w:tc>
        <w:tc>
          <w:tcPr>
            <w:tcW w:w="545" w:type="dxa"/>
            <w:tcBorders>
              <w:top w:val="single" w:color="000000" w:sz="4" w:space="0"/>
              <w:left w:val="single" w:color="000000" w:sz="4" w:space="0"/>
              <w:bottom w:val="single" w:color="000000" w:sz="4" w:space="0"/>
              <w:right w:val="single" w:color="000000" w:sz="4" w:space="0"/>
            </w:tcBorders>
            <w:noWrap/>
            <w:vAlign w:val="center"/>
          </w:tcPr>
          <w:p>
            <w:pPr>
              <w:rPr>
                <w:rFonts w:ascii="仿宋_GB2312" w:hAnsi="宋体" w:eastAsia="仿宋_GB2312" w:cs="宋体"/>
                <w:color w:val="auto"/>
                <w:szCs w:val="21"/>
              </w:rPr>
            </w:pPr>
          </w:p>
        </w:tc>
      </w:tr>
    </w:tbl>
    <w:p/>
    <w:sectPr>
      <w:pgSz w:w="16838" w:h="11906" w:orient="landscape"/>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NzAxZGE2MWRlZTI3ZjQxMDU5OTFhYWJlNzE4YjUifQ=="/>
  </w:docVars>
  <w:rsids>
    <w:rsidRoot w:val="7DF71161"/>
    <w:rsid w:val="0117520A"/>
    <w:rsid w:val="011F46E5"/>
    <w:rsid w:val="03F60FF6"/>
    <w:rsid w:val="06BF3AB8"/>
    <w:rsid w:val="083C1C79"/>
    <w:rsid w:val="08A8794F"/>
    <w:rsid w:val="0CD76BA4"/>
    <w:rsid w:val="0ECA4CFE"/>
    <w:rsid w:val="11811C6E"/>
    <w:rsid w:val="11F2265F"/>
    <w:rsid w:val="14BD4EE3"/>
    <w:rsid w:val="14E9478D"/>
    <w:rsid w:val="15FA07AB"/>
    <w:rsid w:val="166F08B7"/>
    <w:rsid w:val="16A6781A"/>
    <w:rsid w:val="1780681E"/>
    <w:rsid w:val="190D28FF"/>
    <w:rsid w:val="1C242751"/>
    <w:rsid w:val="1D7F364D"/>
    <w:rsid w:val="1E592455"/>
    <w:rsid w:val="20994D8B"/>
    <w:rsid w:val="211C4F2A"/>
    <w:rsid w:val="22103EF4"/>
    <w:rsid w:val="23130E25"/>
    <w:rsid w:val="248A6A76"/>
    <w:rsid w:val="25AB720E"/>
    <w:rsid w:val="27A673F7"/>
    <w:rsid w:val="29E12BC5"/>
    <w:rsid w:val="2B0379D1"/>
    <w:rsid w:val="2CEB720F"/>
    <w:rsid w:val="2DCE2518"/>
    <w:rsid w:val="2E3B5B73"/>
    <w:rsid w:val="34124123"/>
    <w:rsid w:val="381D1445"/>
    <w:rsid w:val="388F0AF6"/>
    <w:rsid w:val="39926EE6"/>
    <w:rsid w:val="3E9C5D1B"/>
    <w:rsid w:val="41917FB6"/>
    <w:rsid w:val="42605DBB"/>
    <w:rsid w:val="47794A11"/>
    <w:rsid w:val="47CC1E3E"/>
    <w:rsid w:val="4B945EB1"/>
    <w:rsid w:val="4CBB0413"/>
    <w:rsid w:val="4F1D6A04"/>
    <w:rsid w:val="5209326F"/>
    <w:rsid w:val="56290165"/>
    <w:rsid w:val="59B75839"/>
    <w:rsid w:val="5AF80325"/>
    <w:rsid w:val="5C744ACA"/>
    <w:rsid w:val="5D6E7914"/>
    <w:rsid w:val="5E1B6804"/>
    <w:rsid w:val="60AE3960"/>
    <w:rsid w:val="618943CD"/>
    <w:rsid w:val="626749FF"/>
    <w:rsid w:val="64D92F75"/>
    <w:rsid w:val="65DF56B6"/>
    <w:rsid w:val="6C156246"/>
    <w:rsid w:val="6CB66BB0"/>
    <w:rsid w:val="6D88179C"/>
    <w:rsid w:val="6E1C42F5"/>
    <w:rsid w:val="6ECB1701"/>
    <w:rsid w:val="6F9F1ABF"/>
    <w:rsid w:val="784D4943"/>
    <w:rsid w:val="78852D3E"/>
    <w:rsid w:val="7A9279F6"/>
    <w:rsid w:val="7C10109C"/>
    <w:rsid w:val="7D6A477C"/>
    <w:rsid w:val="7D851A94"/>
    <w:rsid w:val="7DF7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6">
    <w:name w:val="font21"/>
    <w:basedOn w:val="5"/>
    <w:qFormat/>
    <w:uiPriority w:val="0"/>
    <w:rPr>
      <w:rFonts w:hint="eastAsia" w:ascii="方正仿宋简体" w:hAnsi="方正仿宋简体" w:eastAsia="方正仿宋简体" w:cs="方正仿宋简体"/>
      <w:b/>
      <w:bCs/>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701</Words>
  <Characters>716</Characters>
  <Lines>0</Lines>
  <Paragraphs>0</Paragraphs>
  <TotalTime>1</TotalTime>
  <ScaleCrop>false</ScaleCrop>
  <LinksUpToDate>false</LinksUpToDate>
  <CharactersWithSpaces>716</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2023-02-28T07:59:00Z</dcterms:created>
  <dc:creator>王鑫</dc:creator>
  <cp:lastModifiedBy>admin</cp:lastModifiedBy>
  <cp:lastPrinted>2023-12-20T00:57:36Z</cp:lastPrinted>
  <dcterms:modified xsi:type="dcterms:W3CDTF">2023-12-20T00:57:41Z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0FBFFDD8DB2845EDB27C79C3474D4BE3_13</vt:lpwstr>
  </property>
</Properties>
</file>